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6CFEE" w14:textId="77777777" w:rsidR="00943C31" w:rsidRPr="00C7475D" w:rsidRDefault="00943C31" w:rsidP="00797C11">
      <w:pPr>
        <w:jc w:val="both"/>
        <w:rPr>
          <w:szCs w:val="20"/>
        </w:rPr>
      </w:pPr>
    </w:p>
    <w:p w14:paraId="731A973E" w14:textId="6D233148" w:rsidR="00943C31" w:rsidRDefault="00943C31" w:rsidP="00797C11">
      <w:pPr>
        <w:jc w:val="both"/>
        <w:rPr>
          <w:szCs w:val="20"/>
        </w:rPr>
      </w:pPr>
      <w:r>
        <w:rPr>
          <w:szCs w:val="20"/>
        </w:rPr>
        <w:t xml:space="preserve">Lp Annabell Carina </w:t>
      </w:r>
      <w:proofErr w:type="spellStart"/>
      <w:r>
        <w:rPr>
          <w:szCs w:val="20"/>
        </w:rPr>
        <w:t>Katalsepp</w:t>
      </w:r>
      <w:proofErr w:type="spellEnd"/>
    </w:p>
    <w:p w14:paraId="3513AF82" w14:textId="209E471B" w:rsidR="00943C31" w:rsidRPr="00C7475D" w:rsidRDefault="00943C31" w:rsidP="00797C11">
      <w:pPr>
        <w:jc w:val="both"/>
        <w:rPr>
          <w:szCs w:val="20"/>
        </w:rPr>
      </w:pPr>
      <w:r>
        <w:rPr>
          <w:szCs w:val="20"/>
        </w:rPr>
        <w:t>Konkurentsiamet</w:t>
      </w:r>
    </w:p>
    <w:p w14:paraId="74A73F5F" w14:textId="77777777" w:rsidR="00943C31" w:rsidRDefault="00943C31" w:rsidP="00797C11">
      <w:pPr>
        <w:jc w:val="both"/>
        <w:rPr>
          <w:szCs w:val="20"/>
        </w:rPr>
      </w:pPr>
      <w:r w:rsidRPr="00943C31">
        <w:rPr>
          <w:szCs w:val="20"/>
        </w:rPr>
        <w:t>Tatari 39</w:t>
      </w:r>
    </w:p>
    <w:p w14:paraId="4F40E418" w14:textId="4F371D77" w:rsidR="00943C31" w:rsidRDefault="00943C31" w:rsidP="00797C11">
      <w:pPr>
        <w:jc w:val="both"/>
        <w:rPr>
          <w:szCs w:val="20"/>
        </w:rPr>
      </w:pPr>
      <w:r w:rsidRPr="00943C31">
        <w:rPr>
          <w:szCs w:val="20"/>
        </w:rPr>
        <w:t>10134 Tallinn</w:t>
      </w:r>
    </w:p>
    <w:p w14:paraId="7525D9AD" w14:textId="59AB8035" w:rsidR="00C960E3" w:rsidRDefault="00C960E3" w:rsidP="00797C11">
      <w:pPr>
        <w:jc w:val="both"/>
        <w:rPr>
          <w:szCs w:val="20"/>
        </w:rPr>
      </w:pPr>
      <w:r>
        <w:rPr>
          <w:szCs w:val="20"/>
        </w:rPr>
        <w:t xml:space="preserve">e-post </w:t>
      </w:r>
      <w:hyperlink r:id="rId10" w:history="1">
        <w:r w:rsidRPr="003C1B44">
          <w:rPr>
            <w:rStyle w:val="Hyperlink"/>
            <w:szCs w:val="20"/>
          </w:rPr>
          <w:t>annabellcarina.katalsepp@konkurentsiamet.ee</w:t>
        </w:r>
      </w:hyperlink>
    </w:p>
    <w:p w14:paraId="49FE6719" w14:textId="77777777" w:rsidR="00C960E3" w:rsidRPr="00C7475D" w:rsidRDefault="00C960E3" w:rsidP="00797C11">
      <w:pPr>
        <w:jc w:val="both"/>
        <w:rPr>
          <w:szCs w:val="20"/>
        </w:rPr>
      </w:pPr>
    </w:p>
    <w:p w14:paraId="38BB1334" w14:textId="5458F4A4" w:rsidR="00943C31" w:rsidRDefault="00943C31" w:rsidP="00797C11">
      <w:pPr>
        <w:jc w:val="both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Teie: </w:t>
      </w:r>
      <w:r w:rsidRPr="00943C31">
        <w:rPr>
          <w:szCs w:val="20"/>
        </w:rPr>
        <w:t>09.04.2025</w:t>
      </w:r>
      <w:r>
        <w:rPr>
          <w:szCs w:val="20"/>
        </w:rPr>
        <w:t xml:space="preserve"> </w:t>
      </w:r>
      <w:r w:rsidRPr="00943C31">
        <w:rPr>
          <w:szCs w:val="20"/>
        </w:rPr>
        <w:t>nr5-1/24-0001-040-40</w:t>
      </w:r>
    </w:p>
    <w:p w14:paraId="3EB5B599" w14:textId="3689D599" w:rsidR="00943C31" w:rsidRDefault="00943C31" w:rsidP="00797C11">
      <w:pPr>
        <w:ind w:left="4956" w:firstLine="708"/>
        <w:jc w:val="both"/>
        <w:rPr>
          <w:szCs w:val="20"/>
        </w:rPr>
      </w:pPr>
      <w:r>
        <w:rPr>
          <w:szCs w:val="20"/>
        </w:rPr>
        <w:t>Meie: 14.04.2025 nr R-</w:t>
      </w:r>
      <w:r w:rsidR="00717635">
        <w:rPr>
          <w:szCs w:val="20"/>
        </w:rPr>
        <w:t>021</w:t>
      </w:r>
    </w:p>
    <w:p w14:paraId="0EC3DA44" w14:textId="77777777" w:rsidR="00943C31" w:rsidRDefault="00943C31" w:rsidP="00797C11">
      <w:pPr>
        <w:ind w:left="4956" w:firstLine="708"/>
        <w:jc w:val="both"/>
        <w:rPr>
          <w:szCs w:val="20"/>
        </w:rPr>
      </w:pPr>
    </w:p>
    <w:p w14:paraId="245B7278" w14:textId="5B76C804" w:rsidR="00943C31" w:rsidRPr="00943C31" w:rsidRDefault="00B30A1A" w:rsidP="00797C11">
      <w:pPr>
        <w:jc w:val="both"/>
        <w:rPr>
          <w:b/>
          <w:bCs/>
          <w:szCs w:val="20"/>
        </w:rPr>
      </w:pPr>
      <w:r>
        <w:rPr>
          <w:b/>
          <w:bCs/>
          <w:szCs w:val="20"/>
        </w:rPr>
        <w:t>Teavitus K</w:t>
      </w:r>
      <w:r w:rsidR="00943C31" w:rsidRPr="00943C31">
        <w:rPr>
          <w:b/>
          <w:bCs/>
          <w:szCs w:val="20"/>
        </w:rPr>
        <w:t>onkurentsiameti soovituste täitmise kohta</w:t>
      </w:r>
    </w:p>
    <w:p w14:paraId="7BDC923F" w14:textId="77777777" w:rsidR="00943C31" w:rsidRPr="00943C31" w:rsidRDefault="00943C31" w:rsidP="00797C11">
      <w:pPr>
        <w:jc w:val="both"/>
        <w:rPr>
          <w:szCs w:val="20"/>
        </w:rPr>
      </w:pPr>
    </w:p>
    <w:p w14:paraId="077B4CB5" w14:textId="11115FB8" w:rsidR="00943C31" w:rsidRDefault="00943C31" w:rsidP="00797C11">
      <w:pPr>
        <w:jc w:val="both"/>
        <w:rPr>
          <w:szCs w:val="20"/>
        </w:rPr>
      </w:pPr>
      <w:r>
        <w:rPr>
          <w:szCs w:val="20"/>
        </w:rPr>
        <w:t xml:space="preserve">Lugupeetud pr </w:t>
      </w:r>
      <w:proofErr w:type="spellStart"/>
      <w:r>
        <w:rPr>
          <w:szCs w:val="20"/>
        </w:rPr>
        <w:t>Katalsepp</w:t>
      </w:r>
      <w:proofErr w:type="spellEnd"/>
    </w:p>
    <w:p w14:paraId="118B566F" w14:textId="77777777" w:rsidR="00943C31" w:rsidRDefault="00943C31" w:rsidP="00797C11">
      <w:pPr>
        <w:jc w:val="both"/>
        <w:rPr>
          <w:szCs w:val="20"/>
        </w:rPr>
      </w:pPr>
    </w:p>
    <w:p w14:paraId="1EC60C1A" w14:textId="1D87C2FE" w:rsidR="00943C31" w:rsidRDefault="00943C31" w:rsidP="00797C11">
      <w:pPr>
        <w:jc w:val="both"/>
        <w:rPr>
          <w:szCs w:val="20"/>
        </w:rPr>
      </w:pPr>
      <w:r>
        <w:rPr>
          <w:szCs w:val="20"/>
        </w:rPr>
        <w:t xml:space="preserve">Käesolevaga esitab Circle K Eesti </w:t>
      </w:r>
      <w:r w:rsidR="00B30A1A">
        <w:rPr>
          <w:szCs w:val="20"/>
        </w:rPr>
        <w:t xml:space="preserve">AS (edaspidi Circle K) vastavalt </w:t>
      </w:r>
      <w:r>
        <w:rPr>
          <w:szCs w:val="20"/>
        </w:rPr>
        <w:t xml:space="preserve">Konkurentsiameti 26.03.2025 kirjas esitatud </w:t>
      </w:r>
      <w:r w:rsidR="00B30A1A">
        <w:rPr>
          <w:szCs w:val="20"/>
        </w:rPr>
        <w:t>taotlusele tagasiside Konkurentsiameti soovituste täitmise kohta.</w:t>
      </w:r>
      <w:r w:rsidR="002131BF">
        <w:rPr>
          <w:szCs w:val="20"/>
        </w:rPr>
        <w:t xml:space="preserve"> Täname Konkurentsiametit soovituste eest ning vabandame vastuse viibimise pärast.</w:t>
      </w:r>
    </w:p>
    <w:p w14:paraId="002D861C" w14:textId="77777777" w:rsidR="00B30A1A" w:rsidRDefault="00B30A1A" w:rsidP="00797C11">
      <w:pPr>
        <w:jc w:val="both"/>
        <w:rPr>
          <w:szCs w:val="20"/>
        </w:rPr>
      </w:pPr>
    </w:p>
    <w:p w14:paraId="7D3C9E4B" w14:textId="0777D71C" w:rsidR="00B30A1A" w:rsidRPr="00B30A1A" w:rsidRDefault="00B30A1A" w:rsidP="00797C11">
      <w:pPr>
        <w:jc w:val="both"/>
        <w:rPr>
          <w:b/>
          <w:bCs/>
          <w:szCs w:val="20"/>
        </w:rPr>
      </w:pPr>
      <w:r w:rsidRPr="00B30A1A">
        <w:rPr>
          <w:b/>
          <w:bCs/>
          <w:szCs w:val="20"/>
        </w:rPr>
        <w:t>Konkurentsiameti soovitused laadimispunktide käitajatele</w:t>
      </w:r>
      <w:r>
        <w:rPr>
          <w:b/>
          <w:bCs/>
          <w:szCs w:val="20"/>
        </w:rPr>
        <w:t xml:space="preserve"> ja Circle K vastused:</w:t>
      </w:r>
    </w:p>
    <w:p w14:paraId="2C34490B" w14:textId="77777777" w:rsidR="00C960E3" w:rsidRDefault="00C960E3" w:rsidP="00797C11">
      <w:pPr>
        <w:jc w:val="both"/>
        <w:rPr>
          <w:szCs w:val="20"/>
        </w:rPr>
      </w:pPr>
    </w:p>
    <w:p w14:paraId="3F818393" w14:textId="77777777" w:rsidR="00C960E3" w:rsidRDefault="00B30A1A" w:rsidP="00797C11">
      <w:pPr>
        <w:pStyle w:val="ListParagraph"/>
        <w:numPr>
          <w:ilvl w:val="0"/>
          <w:numId w:val="2"/>
        </w:numPr>
        <w:jc w:val="both"/>
        <w:rPr>
          <w:szCs w:val="20"/>
        </w:rPr>
      </w:pPr>
      <w:r w:rsidRPr="00C960E3">
        <w:rPr>
          <w:szCs w:val="20"/>
        </w:rPr>
        <w:t>Soovitus: informatsiooni kättesaadavuse parandamine tarbijatele</w:t>
      </w:r>
    </w:p>
    <w:p w14:paraId="4F2F869B" w14:textId="77777777" w:rsidR="00615EE1" w:rsidRDefault="00615EE1" w:rsidP="00797C11">
      <w:pPr>
        <w:pStyle w:val="ListParagraph"/>
        <w:jc w:val="both"/>
        <w:rPr>
          <w:szCs w:val="20"/>
        </w:rPr>
      </w:pPr>
    </w:p>
    <w:p w14:paraId="0143526F" w14:textId="19E950D0" w:rsidR="00C960E3" w:rsidRPr="002131BF" w:rsidRDefault="00C960E3" w:rsidP="00797C11">
      <w:pPr>
        <w:pStyle w:val="ListParagraph"/>
        <w:jc w:val="both"/>
        <w:rPr>
          <w:szCs w:val="20"/>
        </w:rPr>
      </w:pPr>
      <w:r w:rsidRPr="00C960E3">
        <w:rPr>
          <w:szCs w:val="20"/>
        </w:rPr>
        <w:t>Vastus</w:t>
      </w:r>
      <w:r>
        <w:rPr>
          <w:szCs w:val="20"/>
        </w:rPr>
        <w:t>:</w:t>
      </w:r>
      <w:r w:rsidRPr="00C960E3">
        <w:rPr>
          <w:szCs w:val="20"/>
        </w:rPr>
        <w:t xml:space="preserve"> Circle K hinnangul on teave laadimis</w:t>
      </w:r>
      <w:r>
        <w:rPr>
          <w:szCs w:val="20"/>
        </w:rPr>
        <w:t>punktide ja elektrilaadimise</w:t>
      </w:r>
      <w:r w:rsidRPr="00C960E3">
        <w:rPr>
          <w:szCs w:val="20"/>
        </w:rPr>
        <w:t xml:space="preserve"> kohta </w:t>
      </w:r>
      <w:r>
        <w:rPr>
          <w:szCs w:val="20"/>
        </w:rPr>
        <w:t>tehtud piisavas ulatuses kättesaadavaks Circle K kodulehel</w:t>
      </w:r>
      <w:r w:rsidR="002131BF">
        <w:rPr>
          <w:szCs w:val="20"/>
        </w:rPr>
        <w:t xml:space="preserve"> (sh eraldi „korduma kippuma küsimuste“ sektsioon kodulehe elektrilaadimise alalehel)</w:t>
      </w:r>
      <w:r>
        <w:rPr>
          <w:szCs w:val="20"/>
        </w:rPr>
        <w:t xml:space="preserve">, mobiilirakenduses ja </w:t>
      </w:r>
      <w:r w:rsidR="002131BF">
        <w:rPr>
          <w:szCs w:val="20"/>
        </w:rPr>
        <w:t xml:space="preserve">ka </w:t>
      </w:r>
      <w:r>
        <w:rPr>
          <w:szCs w:val="20"/>
        </w:rPr>
        <w:t>elektrilaadijal.</w:t>
      </w:r>
      <w:r w:rsidR="00615EE1">
        <w:rPr>
          <w:szCs w:val="20"/>
        </w:rPr>
        <w:t xml:space="preserve"> Leiame, et </w:t>
      </w:r>
      <w:r w:rsidR="002131BF">
        <w:rPr>
          <w:szCs w:val="20"/>
        </w:rPr>
        <w:t xml:space="preserve">oleme nõuetekohaselt selgitanud, </w:t>
      </w:r>
      <w:r w:rsidR="00615EE1" w:rsidRPr="00615EE1">
        <w:rPr>
          <w:szCs w:val="20"/>
        </w:rPr>
        <w:t xml:space="preserve">millised tegurid </w:t>
      </w:r>
      <w:r w:rsidR="002131BF">
        <w:rPr>
          <w:szCs w:val="20"/>
        </w:rPr>
        <w:t>mõjutavad laadimiskiirust. Klientide tagasiside põhjal oleme saanud kinnitust, et neile on olnud avaldatud teave arusaadav.</w:t>
      </w:r>
    </w:p>
    <w:p w14:paraId="16B65C50" w14:textId="77777777" w:rsidR="00C960E3" w:rsidRPr="00C960E3" w:rsidRDefault="00C960E3" w:rsidP="00797C11">
      <w:pPr>
        <w:jc w:val="both"/>
        <w:rPr>
          <w:szCs w:val="20"/>
        </w:rPr>
      </w:pPr>
    </w:p>
    <w:p w14:paraId="036082B8" w14:textId="5C4A0B54" w:rsidR="00B30A1A" w:rsidRDefault="00B30A1A" w:rsidP="00797C11">
      <w:pPr>
        <w:pStyle w:val="ListParagraph"/>
        <w:numPr>
          <w:ilvl w:val="0"/>
          <w:numId w:val="2"/>
        </w:numPr>
        <w:jc w:val="both"/>
        <w:rPr>
          <w:szCs w:val="20"/>
        </w:rPr>
      </w:pPr>
      <w:r w:rsidRPr="00C960E3">
        <w:rPr>
          <w:szCs w:val="20"/>
        </w:rPr>
        <w:t>Soovitus: korrapõhiste maksevõimaluste valikute laiendamine</w:t>
      </w:r>
    </w:p>
    <w:p w14:paraId="3E60B5F7" w14:textId="77777777" w:rsidR="00615EE1" w:rsidRDefault="00615EE1" w:rsidP="00797C11">
      <w:pPr>
        <w:pStyle w:val="ListParagraph"/>
        <w:jc w:val="both"/>
        <w:rPr>
          <w:szCs w:val="20"/>
        </w:rPr>
      </w:pPr>
    </w:p>
    <w:p w14:paraId="6F300AE6" w14:textId="77AEF808" w:rsidR="00C960E3" w:rsidRPr="00615EE1" w:rsidRDefault="00C960E3" w:rsidP="00797C11">
      <w:pPr>
        <w:pStyle w:val="ListParagraph"/>
        <w:jc w:val="both"/>
        <w:rPr>
          <w:szCs w:val="20"/>
        </w:rPr>
      </w:pPr>
      <w:r>
        <w:rPr>
          <w:szCs w:val="20"/>
        </w:rPr>
        <w:t>Vastus:</w:t>
      </w:r>
      <w:r w:rsidR="00615EE1">
        <w:rPr>
          <w:szCs w:val="20"/>
        </w:rPr>
        <w:t xml:space="preserve"> </w:t>
      </w:r>
      <w:r w:rsidR="00615EE1" w:rsidRPr="00615EE1">
        <w:rPr>
          <w:szCs w:val="20"/>
        </w:rPr>
        <w:t>Lähtuvalt E</w:t>
      </w:r>
      <w:r w:rsidR="00615EE1">
        <w:rPr>
          <w:szCs w:val="20"/>
        </w:rPr>
        <w:t xml:space="preserve">uroopa Parlamendi ja Nõukogu määrusest nr </w:t>
      </w:r>
      <w:r w:rsidR="00615EE1" w:rsidRPr="00615EE1">
        <w:rPr>
          <w:szCs w:val="20"/>
        </w:rPr>
        <w:t>2023/1804, milles käsitletakse alternatiivkütuste taristu kasutuselevõt</w:t>
      </w:r>
      <w:r w:rsidR="00615EE1">
        <w:rPr>
          <w:szCs w:val="20"/>
        </w:rPr>
        <w:t>tu</w:t>
      </w:r>
      <w:r w:rsidR="00615EE1" w:rsidRPr="00615EE1">
        <w:rPr>
          <w:szCs w:val="20"/>
        </w:rPr>
        <w:t>, on alates aprillikuust 2024</w:t>
      </w:r>
      <w:r w:rsidR="00615EE1">
        <w:rPr>
          <w:szCs w:val="20"/>
        </w:rPr>
        <w:t>.aastal</w:t>
      </w:r>
      <w:r w:rsidR="00615EE1" w:rsidRPr="00615EE1">
        <w:rPr>
          <w:szCs w:val="20"/>
        </w:rPr>
        <w:t xml:space="preserve"> paigaldatu</w:t>
      </w:r>
      <w:r w:rsidR="00615EE1">
        <w:rPr>
          <w:szCs w:val="20"/>
        </w:rPr>
        <w:t xml:space="preserve">d </w:t>
      </w:r>
      <w:r w:rsidR="00072102">
        <w:rPr>
          <w:szCs w:val="20"/>
        </w:rPr>
        <w:t xml:space="preserve">uutele </w:t>
      </w:r>
      <w:r w:rsidR="00615EE1">
        <w:rPr>
          <w:szCs w:val="20"/>
        </w:rPr>
        <w:t xml:space="preserve">Circle K </w:t>
      </w:r>
      <w:r w:rsidR="00615EE1" w:rsidRPr="00615EE1">
        <w:rPr>
          <w:szCs w:val="20"/>
        </w:rPr>
        <w:t xml:space="preserve"> kiirlaadijatel</w:t>
      </w:r>
      <w:r w:rsidR="00615EE1">
        <w:rPr>
          <w:szCs w:val="20"/>
        </w:rPr>
        <w:t>e</w:t>
      </w:r>
      <w:r w:rsidR="00615EE1" w:rsidRPr="00615EE1">
        <w:rPr>
          <w:szCs w:val="20"/>
        </w:rPr>
        <w:t xml:space="preserve"> kaardimakseterminalid (Rakvere Väljavahi</w:t>
      </w:r>
      <w:r w:rsidR="00072102">
        <w:rPr>
          <w:szCs w:val="20"/>
        </w:rPr>
        <w:t xml:space="preserve"> teenindusjaamas</w:t>
      </w:r>
      <w:r w:rsidR="00615EE1" w:rsidRPr="00615EE1">
        <w:rPr>
          <w:szCs w:val="20"/>
        </w:rPr>
        <w:t xml:space="preserve">, </w:t>
      </w:r>
      <w:proofErr w:type="spellStart"/>
      <w:r w:rsidR="00615EE1" w:rsidRPr="00615EE1">
        <w:rPr>
          <w:szCs w:val="20"/>
        </w:rPr>
        <w:t>Veskimöldre</w:t>
      </w:r>
      <w:proofErr w:type="spellEnd"/>
      <w:r w:rsidR="00072102">
        <w:rPr>
          <w:szCs w:val="20"/>
        </w:rPr>
        <w:t xml:space="preserve"> teenindusjaamas</w:t>
      </w:r>
      <w:r w:rsidR="00615EE1" w:rsidRPr="00615EE1">
        <w:rPr>
          <w:szCs w:val="20"/>
        </w:rPr>
        <w:t>)</w:t>
      </w:r>
      <w:r w:rsidR="00615EE1">
        <w:rPr>
          <w:szCs w:val="20"/>
        </w:rPr>
        <w:t xml:space="preserve">. </w:t>
      </w:r>
      <w:r w:rsidR="00615EE1" w:rsidRPr="00615EE1">
        <w:rPr>
          <w:szCs w:val="20"/>
        </w:rPr>
        <w:t>Enne 2024</w:t>
      </w:r>
      <w:r w:rsidR="00615EE1">
        <w:rPr>
          <w:szCs w:val="20"/>
        </w:rPr>
        <w:t>.aasta aprillikuud</w:t>
      </w:r>
      <w:r w:rsidR="00615EE1" w:rsidRPr="00615EE1">
        <w:rPr>
          <w:szCs w:val="20"/>
        </w:rPr>
        <w:t xml:space="preserve"> paigaldatud </w:t>
      </w:r>
      <w:r w:rsidR="00072102">
        <w:rPr>
          <w:szCs w:val="20"/>
        </w:rPr>
        <w:t xml:space="preserve">elektriautode </w:t>
      </w:r>
      <w:r w:rsidR="00615EE1" w:rsidRPr="00615EE1">
        <w:rPr>
          <w:szCs w:val="20"/>
        </w:rPr>
        <w:t>kiirlaadijatele paigalda</w:t>
      </w:r>
      <w:r w:rsidR="00615EE1">
        <w:rPr>
          <w:szCs w:val="20"/>
        </w:rPr>
        <w:t>b Circle K</w:t>
      </w:r>
      <w:r w:rsidR="00615EE1" w:rsidRPr="00615EE1">
        <w:rPr>
          <w:szCs w:val="20"/>
        </w:rPr>
        <w:t xml:space="preserve"> kaardi</w:t>
      </w:r>
      <w:r w:rsidR="00072102">
        <w:rPr>
          <w:szCs w:val="20"/>
        </w:rPr>
        <w:t>makse</w:t>
      </w:r>
      <w:r w:rsidR="00615EE1" w:rsidRPr="00615EE1">
        <w:rPr>
          <w:szCs w:val="20"/>
        </w:rPr>
        <w:t xml:space="preserve">terminalid vastavuses </w:t>
      </w:r>
      <w:r w:rsidR="00615EE1">
        <w:rPr>
          <w:szCs w:val="20"/>
        </w:rPr>
        <w:t xml:space="preserve">viidatud määruse </w:t>
      </w:r>
      <w:r w:rsidR="00615EE1" w:rsidRPr="00615EE1">
        <w:rPr>
          <w:szCs w:val="20"/>
        </w:rPr>
        <w:t>tähtaegadega</w:t>
      </w:r>
      <w:r w:rsidR="00615EE1">
        <w:rPr>
          <w:szCs w:val="20"/>
        </w:rPr>
        <w:t>.</w:t>
      </w:r>
      <w:r w:rsidRPr="00615EE1">
        <w:rPr>
          <w:szCs w:val="20"/>
        </w:rPr>
        <w:t xml:space="preserve"> </w:t>
      </w:r>
    </w:p>
    <w:p w14:paraId="3DE49EFD" w14:textId="77777777" w:rsidR="00C960E3" w:rsidRPr="00C960E3" w:rsidRDefault="00C960E3" w:rsidP="00797C11">
      <w:pPr>
        <w:pStyle w:val="ListParagraph"/>
        <w:jc w:val="both"/>
        <w:rPr>
          <w:szCs w:val="20"/>
        </w:rPr>
      </w:pPr>
    </w:p>
    <w:p w14:paraId="203A6305" w14:textId="4C44DC93" w:rsidR="00943C31" w:rsidRDefault="00B30A1A" w:rsidP="00797C11">
      <w:pPr>
        <w:pStyle w:val="ListParagraph"/>
        <w:numPr>
          <w:ilvl w:val="0"/>
          <w:numId w:val="2"/>
        </w:numPr>
        <w:jc w:val="both"/>
        <w:rPr>
          <w:szCs w:val="20"/>
        </w:rPr>
      </w:pPr>
      <w:r w:rsidRPr="00615EE1">
        <w:rPr>
          <w:szCs w:val="20"/>
        </w:rPr>
        <w:t>Soovitus: ettevõtja äritegevuse konkurentsimõju hindamine</w:t>
      </w:r>
    </w:p>
    <w:p w14:paraId="7F5FC3CE" w14:textId="77777777" w:rsidR="00615EE1" w:rsidRDefault="00615EE1" w:rsidP="00797C11">
      <w:pPr>
        <w:ind w:left="708"/>
        <w:jc w:val="both"/>
        <w:rPr>
          <w:szCs w:val="20"/>
        </w:rPr>
      </w:pPr>
    </w:p>
    <w:p w14:paraId="7F1A1A39" w14:textId="02F057C3" w:rsidR="00615EE1" w:rsidRPr="00615EE1" w:rsidRDefault="00615EE1" w:rsidP="00797C11">
      <w:pPr>
        <w:ind w:left="708"/>
        <w:jc w:val="both"/>
        <w:rPr>
          <w:szCs w:val="20"/>
        </w:rPr>
      </w:pPr>
      <w:r>
        <w:rPr>
          <w:szCs w:val="20"/>
        </w:rPr>
        <w:t xml:space="preserve">Vastus: Circle K hindab oma majandustegevuse, sealhulgas </w:t>
      </w:r>
      <w:proofErr w:type="spellStart"/>
      <w:r>
        <w:rPr>
          <w:szCs w:val="20"/>
        </w:rPr>
        <w:t>elektrilaadimisteenuse</w:t>
      </w:r>
      <w:proofErr w:type="spellEnd"/>
      <w:r>
        <w:rPr>
          <w:szCs w:val="20"/>
        </w:rPr>
        <w:t xml:space="preserve">, </w:t>
      </w:r>
      <w:r w:rsidR="002131BF">
        <w:rPr>
          <w:szCs w:val="20"/>
        </w:rPr>
        <w:t xml:space="preserve">tingimusi ja </w:t>
      </w:r>
      <w:r>
        <w:rPr>
          <w:szCs w:val="20"/>
        </w:rPr>
        <w:t xml:space="preserve">tulemusi igakuiselt. </w:t>
      </w:r>
      <w:r w:rsidR="002131BF">
        <w:rPr>
          <w:szCs w:val="20"/>
        </w:rPr>
        <w:t xml:space="preserve">Circle K hinnangul </w:t>
      </w:r>
      <w:r w:rsidR="00072102" w:rsidRPr="002131BF">
        <w:rPr>
          <w:szCs w:val="20"/>
        </w:rPr>
        <w:t xml:space="preserve">ei too </w:t>
      </w:r>
      <w:r w:rsidR="002131BF">
        <w:rPr>
          <w:szCs w:val="20"/>
        </w:rPr>
        <w:t xml:space="preserve">meiepoolne andmete </w:t>
      </w:r>
      <w:r w:rsidR="002131BF" w:rsidRPr="002131BF">
        <w:rPr>
          <w:szCs w:val="20"/>
        </w:rPr>
        <w:t>kogumine ja kasutamine, hinnakujundus või lepingutingimuste kehtestamine kaasa otsest ega kaudset konkurentide turult väljatõrjumist ega kahjusta tarbijate huve</w:t>
      </w:r>
      <w:r w:rsidR="002131BF">
        <w:rPr>
          <w:szCs w:val="20"/>
        </w:rPr>
        <w:t>.</w:t>
      </w:r>
    </w:p>
    <w:p w14:paraId="7AF5712F" w14:textId="4652390E" w:rsidR="00943C31" w:rsidRDefault="00943C31" w:rsidP="00797C11">
      <w:pPr>
        <w:jc w:val="both"/>
        <w:rPr>
          <w:szCs w:val="20"/>
        </w:rPr>
      </w:pPr>
    </w:p>
    <w:p w14:paraId="171FF870" w14:textId="67BFD44F" w:rsidR="002131BF" w:rsidRDefault="002131BF" w:rsidP="00797C11">
      <w:pPr>
        <w:jc w:val="both"/>
        <w:rPr>
          <w:szCs w:val="20"/>
        </w:rPr>
      </w:pPr>
      <w:r>
        <w:rPr>
          <w:szCs w:val="20"/>
        </w:rPr>
        <w:lastRenderedPageBreak/>
        <w:t>Lugupidamisega</w:t>
      </w:r>
    </w:p>
    <w:p w14:paraId="632C0C52" w14:textId="77777777" w:rsidR="002131BF" w:rsidRDefault="002131BF" w:rsidP="00797C11">
      <w:pPr>
        <w:jc w:val="both"/>
        <w:rPr>
          <w:szCs w:val="20"/>
        </w:rPr>
      </w:pPr>
    </w:p>
    <w:p w14:paraId="0A1CF949" w14:textId="24A92D0C" w:rsidR="002131BF" w:rsidRDefault="002131BF" w:rsidP="00797C11">
      <w:pPr>
        <w:jc w:val="both"/>
        <w:rPr>
          <w:szCs w:val="20"/>
        </w:rPr>
      </w:pPr>
      <w:r>
        <w:rPr>
          <w:szCs w:val="20"/>
        </w:rPr>
        <w:t>Raimo Vahtrik</w:t>
      </w:r>
    </w:p>
    <w:p w14:paraId="5A272697" w14:textId="77777777" w:rsidR="002131BF" w:rsidRDefault="002131BF" w:rsidP="00797C11">
      <w:pPr>
        <w:jc w:val="both"/>
        <w:rPr>
          <w:szCs w:val="20"/>
        </w:rPr>
      </w:pPr>
    </w:p>
    <w:p w14:paraId="0E72AA51" w14:textId="224E7494" w:rsidR="002131BF" w:rsidRDefault="002131BF" w:rsidP="00797C11">
      <w:pPr>
        <w:jc w:val="both"/>
        <w:rPr>
          <w:szCs w:val="20"/>
        </w:rPr>
      </w:pPr>
      <w:r>
        <w:rPr>
          <w:szCs w:val="20"/>
        </w:rPr>
        <w:t>(digitaalselt allkirjastatud)</w:t>
      </w:r>
    </w:p>
    <w:p w14:paraId="7AB60E3D" w14:textId="77777777" w:rsidR="002131BF" w:rsidRDefault="002131BF" w:rsidP="00797C11">
      <w:pPr>
        <w:jc w:val="both"/>
        <w:rPr>
          <w:szCs w:val="20"/>
        </w:rPr>
      </w:pPr>
    </w:p>
    <w:p w14:paraId="48EE186D" w14:textId="03BE1F0E" w:rsidR="002131BF" w:rsidRPr="00C7475D" w:rsidRDefault="002131BF" w:rsidP="00797C11">
      <w:pPr>
        <w:jc w:val="both"/>
        <w:rPr>
          <w:szCs w:val="20"/>
        </w:rPr>
      </w:pPr>
      <w:r>
        <w:rPr>
          <w:szCs w:val="20"/>
        </w:rPr>
        <w:t>Prokurist</w:t>
      </w:r>
    </w:p>
    <w:p w14:paraId="35040505" w14:textId="77777777" w:rsidR="00943C31" w:rsidRPr="00C7475D" w:rsidRDefault="00943C31" w:rsidP="00797C11">
      <w:pPr>
        <w:jc w:val="both"/>
        <w:rPr>
          <w:szCs w:val="20"/>
        </w:rPr>
      </w:pPr>
    </w:p>
    <w:p w14:paraId="76416ED9" w14:textId="77777777" w:rsidR="00943C31" w:rsidRPr="00C7475D" w:rsidRDefault="00943C31" w:rsidP="00797C11">
      <w:pPr>
        <w:jc w:val="both"/>
        <w:rPr>
          <w:szCs w:val="20"/>
        </w:rPr>
      </w:pPr>
    </w:p>
    <w:p w14:paraId="47467976" w14:textId="77777777" w:rsidR="00943C31" w:rsidRPr="00C7475D" w:rsidRDefault="00943C31" w:rsidP="00797C11">
      <w:pPr>
        <w:jc w:val="both"/>
      </w:pPr>
    </w:p>
    <w:p w14:paraId="75AE7CCE" w14:textId="77777777" w:rsidR="00943C31" w:rsidRPr="00733364" w:rsidRDefault="00943C31" w:rsidP="00797C11">
      <w:pPr>
        <w:jc w:val="both"/>
      </w:pPr>
    </w:p>
    <w:p w14:paraId="56CBAFF2" w14:textId="77777777" w:rsidR="00A15902" w:rsidRDefault="00A15902" w:rsidP="00797C11">
      <w:pPr>
        <w:jc w:val="both"/>
      </w:pPr>
    </w:p>
    <w:sectPr w:rsidR="00A15902" w:rsidSect="00943C3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977" w:right="1106" w:bottom="261" w:left="1440" w:header="130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18FCC" w14:textId="77777777" w:rsidR="00943C31" w:rsidRDefault="00943C31" w:rsidP="00943C31">
      <w:pPr>
        <w:spacing w:line="240" w:lineRule="auto"/>
      </w:pPr>
      <w:r>
        <w:separator/>
      </w:r>
    </w:p>
  </w:endnote>
  <w:endnote w:type="continuationSeparator" w:id="0">
    <w:p w14:paraId="1B71C895" w14:textId="77777777" w:rsidR="00943C31" w:rsidRDefault="00943C31" w:rsidP="00943C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20BCE" w14:textId="77777777" w:rsidR="00797C11" w:rsidRPr="00441806" w:rsidRDefault="00797C11" w:rsidP="00441806">
    <w:pPr>
      <w:pStyle w:val="Footer"/>
      <w:tabs>
        <w:tab w:val="clear" w:pos="4536"/>
        <w:tab w:val="clear" w:pos="9072"/>
        <w:tab w:val="left" w:pos="585"/>
        <w:tab w:val="left" w:pos="1320"/>
      </w:tabs>
      <w:rPr>
        <w:szCs w:val="15"/>
      </w:rPr>
    </w:pPr>
    <w:r>
      <w:rPr>
        <w:szCs w:val="15"/>
      </w:rPr>
      <w:tab/>
    </w:r>
    <w:r>
      <w:rPr>
        <w:szCs w:val="15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22620" w:type="dxa"/>
      <w:tblInd w:w="-14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129"/>
      <w:gridCol w:w="284"/>
      <w:gridCol w:w="1844"/>
      <w:gridCol w:w="284"/>
      <w:gridCol w:w="2289"/>
      <w:gridCol w:w="20"/>
      <w:gridCol w:w="20"/>
      <w:gridCol w:w="183"/>
      <w:gridCol w:w="20"/>
      <w:gridCol w:w="20"/>
      <w:gridCol w:w="142"/>
      <w:gridCol w:w="3119"/>
      <w:gridCol w:w="79"/>
      <w:gridCol w:w="1741"/>
      <w:gridCol w:w="1741"/>
      <w:gridCol w:w="1741"/>
      <w:gridCol w:w="1741"/>
      <w:gridCol w:w="1741"/>
      <w:gridCol w:w="1741"/>
      <w:gridCol w:w="1741"/>
    </w:tblGrid>
    <w:tr w:rsidR="00992344" w14:paraId="3821754B" w14:textId="77777777" w:rsidTr="00992344">
      <w:trPr>
        <w:trHeight w:val="537"/>
      </w:trPr>
      <w:tc>
        <w:tcPr>
          <w:tcW w:w="2127" w:type="dxa"/>
        </w:tcPr>
        <w:p w14:paraId="12779F9F" w14:textId="77777777" w:rsidR="00797C11" w:rsidRDefault="00797C11">
          <w:pPr>
            <w:pStyle w:val="Header"/>
            <w:spacing w:line="360" w:lineRule="auto"/>
            <w:ind w:right="-46"/>
            <w:rPr>
              <w:rFonts w:cs="Arial"/>
              <w:sz w:val="28"/>
              <w:szCs w:val="28"/>
            </w:rPr>
          </w:pPr>
          <w:r>
            <w:rPr>
              <w:rFonts w:cs="Arial"/>
              <w:sz w:val="28"/>
              <w:szCs w:val="28"/>
            </w:rPr>
            <w:t>—</w:t>
          </w:r>
        </w:p>
        <w:p w14:paraId="12334DEA" w14:textId="77777777" w:rsidR="00797C11" w:rsidRDefault="00797C11">
          <w:pPr>
            <w:pStyle w:val="Header"/>
            <w:spacing w:line="276" w:lineRule="auto"/>
            <w:ind w:right="-46"/>
            <w:rPr>
              <w:rFonts w:cs="Arial"/>
              <w:sz w:val="16"/>
              <w:szCs w:val="16"/>
            </w:rPr>
          </w:pPr>
          <w:r>
            <w:rPr>
              <w:rStyle w:val="PlaceholderText"/>
              <w:rFonts w:eastAsiaTheme="majorEastAsia" w:cs="Arial"/>
              <w:b/>
              <w:color w:val="7F7F7F"/>
              <w:sz w:val="16"/>
              <w:szCs w:val="16"/>
            </w:rPr>
            <w:t>Circle K Eesti AS</w:t>
          </w:r>
        </w:p>
        <w:p w14:paraId="5540C87F" w14:textId="77777777" w:rsidR="00797C11" w:rsidRDefault="00797C11">
          <w:pPr>
            <w:tabs>
              <w:tab w:val="right" w:pos="2367"/>
            </w:tabs>
            <w:ind w:right="-46"/>
            <w:rPr>
              <w:rFonts w:cs="Arial"/>
              <w:color w:val="7F7F7F"/>
              <w:sz w:val="16"/>
              <w:szCs w:val="16"/>
            </w:rPr>
          </w:pPr>
          <w:proofErr w:type="spellStart"/>
          <w:r>
            <w:rPr>
              <w:rFonts w:cs="Arial"/>
              <w:color w:val="7F7F7F"/>
              <w:sz w:val="16"/>
              <w:szCs w:val="16"/>
            </w:rPr>
            <w:t>Reg</w:t>
          </w:r>
          <w:proofErr w:type="spellEnd"/>
          <w:r>
            <w:rPr>
              <w:rFonts w:cs="Arial"/>
              <w:color w:val="7F7F7F"/>
              <w:sz w:val="16"/>
              <w:szCs w:val="16"/>
            </w:rPr>
            <w:t>. kood 10180925</w:t>
          </w:r>
        </w:p>
        <w:p w14:paraId="31589CB6" w14:textId="77777777" w:rsidR="00797C11" w:rsidRDefault="00797C11">
          <w:pPr>
            <w:ind w:right="-46"/>
            <w:rPr>
              <w:rFonts w:cs="Arial"/>
              <w:color w:val="7F7F7F"/>
              <w:sz w:val="16"/>
              <w:szCs w:val="16"/>
            </w:rPr>
          </w:pPr>
          <w:r>
            <w:rPr>
              <w:rFonts w:cs="Arial"/>
              <w:color w:val="7F7F7F"/>
              <w:sz w:val="16"/>
              <w:szCs w:val="16"/>
            </w:rPr>
            <w:t xml:space="preserve">KMK </w:t>
          </w:r>
          <w:proofErr w:type="spellStart"/>
          <w:r>
            <w:rPr>
              <w:rFonts w:cs="Arial"/>
              <w:color w:val="7F7F7F"/>
              <w:sz w:val="16"/>
              <w:szCs w:val="16"/>
            </w:rPr>
            <w:t>reg</w:t>
          </w:r>
          <w:proofErr w:type="spellEnd"/>
          <w:r>
            <w:rPr>
              <w:rFonts w:cs="Arial"/>
              <w:color w:val="7F7F7F"/>
              <w:sz w:val="16"/>
              <w:szCs w:val="16"/>
            </w:rPr>
            <w:t xml:space="preserve"> nr. EE100305317</w:t>
          </w:r>
        </w:p>
        <w:p w14:paraId="2F80AD29" w14:textId="77777777" w:rsidR="00797C11" w:rsidRDefault="00797C11">
          <w:pPr>
            <w:pStyle w:val="Footer"/>
            <w:ind w:right="-46"/>
            <w:rPr>
              <w:rFonts w:cs="Arial"/>
              <w:color w:val="7F7F7F"/>
              <w:sz w:val="16"/>
              <w:szCs w:val="16"/>
            </w:rPr>
          </w:pPr>
        </w:p>
        <w:p w14:paraId="767FDCD3" w14:textId="77777777" w:rsidR="00797C11" w:rsidRDefault="00797C11">
          <w:pPr>
            <w:pStyle w:val="Footer"/>
            <w:ind w:right="-46"/>
            <w:rPr>
              <w:rFonts w:cs="Arial"/>
              <w:color w:val="7F7F7F"/>
              <w:sz w:val="16"/>
              <w:szCs w:val="16"/>
            </w:rPr>
          </w:pPr>
        </w:p>
      </w:tc>
      <w:tc>
        <w:tcPr>
          <w:tcW w:w="283" w:type="dxa"/>
        </w:tcPr>
        <w:p w14:paraId="2247902D" w14:textId="77777777" w:rsidR="00797C11" w:rsidRDefault="00797C11">
          <w:pPr>
            <w:pStyle w:val="Footer"/>
            <w:ind w:right="-46"/>
            <w:rPr>
              <w:rFonts w:cs="Arial"/>
              <w:color w:val="7F7F7F"/>
              <w:sz w:val="16"/>
              <w:szCs w:val="16"/>
            </w:rPr>
          </w:pPr>
        </w:p>
      </w:tc>
      <w:tc>
        <w:tcPr>
          <w:tcW w:w="1843" w:type="dxa"/>
        </w:tcPr>
        <w:p w14:paraId="2E72DC33" w14:textId="77777777" w:rsidR="00797C11" w:rsidRDefault="00797C11">
          <w:pPr>
            <w:pStyle w:val="Header"/>
            <w:spacing w:line="360" w:lineRule="auto"/>
            <w:ind w:right="-46"/>
            <w:rPr>
              <w:rFonts w:cs="Arial"/>
              <w:sz w:val="28"/>
              <w:szCs w:val="28"/>
            </w:rPr>
          </w:pPr>
          <w:r>
            <w:rPr>
              <w:rFonts w:cs="Arial"/>
              <w:sz w:val="28"/>
              <w:szCs w:val="28"/>
            </w:rPr>
            <w:t>—</w:t>
          </w:r>
        </w:p>
        <w:p w14:paraId="07765FCE" w14:textId="77777777" w:rsidR="00797C11" w:rsidRDefault="00797C11">
          <w:pPr>
            <w:pStyle w:val="Header"/>
            <w:spacing w:line="360" w:lineRule="auto"/>
            <w:ind w:right="-46"/>
            <w:rPr>
              <w:rStyle w:val="PlaceholderText"/>
              <w:rFonts w:eastAsiaTheme="majorEastAsia"/>
              <w:b/>
              <w:sz w:val="16"/>
              <w:szCs w:val="16"/>
            </w:rPr>
          </w:pPr>
          <w:r>
            <w:rPr>
              <w:rStyle w:val="PlaceholderText"/>
              <w:rFonts w:eastAsiaTheme="majorEastAsia" w:cs="Arial"/>
              <w:b/>
              <w:sz w:val="16"/>
              <w:szCs w:val="16"/>
            </w:rPr>
            <w:t>Aadress</w:t>
          </w:r>
        </w:p>
        <w:p w14:paraId="63461C0E" w14:textId="77777777" w:rsidR="00797C11" w:rsidRDefault="00797C11">
          <w:pPr>
            <w:pStyle w:val="Header"/>
            <w:spacing w:line="360" w:lineRule="auto"/>
            <w:ind w:right="-46"/>
            <w:rPr>
              <w:color w:val="7F7F7F"/>
            </w:rPr>
          </w:pPr>
          <w:r>
            <w:rPr>
              <w:rFonts w:cs="Arial"/>
              <w:color w:val="7F7F7F"/>
              <w:sz w:val="16"/>
              <w:szCs w:val="16"/>
            </w:rPr>
            <w:t>Veskiposti tn 2/1</w:t>
          </w:r>
        </w:p>
        <w:p w14:paraId="13AF2419" w14:textId="77777777" w:rsidR="00797C11" w:rsidRDefault="00797C11">
          <w:pPr>
            <w:pStyle w:val="Header"/>
            <w:spacing w:line="360" w:lineRule="auto"/>
            <w:ind w:right="-46"/>
            <w:rPr>
              <w:rFonts w:cs="Arial"/>
              <w:color w:val="7F7F7F"/>
              <w:sz w:val="16"/>
              <w:szCs w:val="16"/>
            </w:rPr>
          </w:pPr>
          <w:r>
            <w:rPr>
              <w:rFonts w:cs="Arial"/>
              <w:color w:val="7F7F7F"/>
              <w:sz w:val="16"/>
              <w:szCs w:val="16"/>
            </w:rPr>
            <w:t>10138 Tallinn</w:t>
          </w:r>
        </w:p>
        <w:p w14:paraId="410892D9" w14:textId="77777777" w:rsidR="00797C11" w:rsidRDefault="00797C11">
          <w:pPr>
            <w:pStyle w:val="Header"/>
            <w:spacing w:line="360" w:lineRule="auto"/>
            <w:ind w:right="-46"/>
            <w:rPr>
              <w:rFonts w:cs="Arial"/>
              <w:sz w:val="28"/>
              <w:szCs w:val="28"/>
            </w:rPr>
          </w:pPr>
          <w:r>
            <w:rPr>
              <w:rFonts w:cs="Arial"/>
              <w:color w:val="7F7F7F"/>
              <w:sz w:val="16"/>
              <w:szCs w:val="16"/>
            </w:rPr>
            <w:t>EESTI</w:t>
          </w:r>
        </w:p>
        <w:p w14:paraId="00F6586A" w14:textId="77777777" w:rsidR="00797C11" w:rsidRDefault="00797C11">
          <w:pPr>
            <w:pStyle w:val="Footer"/>
            <w:ind w:right="-46"/>
            <w:rPr>
              <w:rFonts w:cs="Arial"/>
              <w:color w:val="7F7F7F"/>
              <w:sz w:val="16"/>
              <w:szCs w:val="16"/>
            </w:rPr>
          </w:pPr>
        </w:p>
      </w:tc>
      <w:tc>
        <w:tcPr>
          <w:tcW w:w="284" w:type="dxa"/>
        </w:tcPr>
        <w:p w14:paraId="05AA9C39" w14:textId="77777777" w:rsidR="00797C11" w:rsidRDefault="00797C11">
          <w:pPr>
            <w:pStyle w:val="Footer"/>
            <w:ind w:right="-46"/>
            <w:rPr>
              <w:rFonts w:cs="Arial"/>
              <w:color w:val="7F7F7F"/>
              <w:sz w:val="16"/>
              <w:szCs w:val="16"/>
            </w:rPr>
          </w:pPr>
        </w:p>
      </w:tc>
      <w:tc>
        <w:tcPr>
          <w:tcW w:w="2288" w:type="dxa"/>
          <w:hideMark/>
        </w:tcPr>
        <w:p w14:paraId="7D37F5A5" w14:textId="77777777" w:rsidR="00797C11" w:rsidRDefault="00797C11">
          <w:pPr>
            <w:pStyle w:val="Header"/>
            <w:spacing w:line="360" w:lineRule="auto"/>
            <w:ind w:right="-46"/>
            <w:rPr>
              <w:rFonts w:cs="Arial"/>
              <w:sz w:val="28"/>
              <w:szCs w:val="28"/>
            </w:rPr>
          </w:pPr>
          <w:r>
            <w:rPr>
              <w:rFonts w:cs="Arial"/>
              <w:sz w:val="28"/>
              <w:szCs w:val="28"/>
            </w:rPr>
            <w:t>—</w:t>
          </w:r>
        </w:p>
        <w:p w14:paraId="66D7B674" w14:textId="77777777" w:rsidR="00797C11" w:rsidRDefault="00797C11">
          <w:pPr>
            <w:pStyle w:val="Header"/>
            <w:spacing w:line="360" w:lineRule="auto"/>
            <w:ind w:right="-46"/>
            <w:rPr>
              <w:rStyle w:val="PlaceholderText"/>
              <w:rFonts w:eastAsiaTheme="majorEastAsia"/>
              <w:b/>
              <w:sz w:val="16"/>
              <w:szCs w:val="16"/>
            </w:rPr>
          </w:pPr>
          <w:proofErr w:type="spellStart"/>
          <w:r>
            <w:rPr>
              <w:rStyle w:val="PlaceholderText"/>
              <w:rFonts w:eastAsiaTheme="majorEastAsia" w:cs="Arial"/>
              <w:b/>
              <w:sz w:val="16"/>
              <w:szCs w:val="16"/>
            </w:rPr>
            <w:t>Luminor</w:t>
          </w:r>
          <w:proofErr w:type="spellEnd"/>
          <w:r>
            <w:rPr>
              <w:rStyle w:val="PlaceholderText"/>
              <w:rFonts w:eastAsiaTheme="majorEastAsia" w:cs="Arial"/>
              <w:b/>
              <w:sz w:val="16"/>
              <w:szCs w:val="16"/>
            </w:rPr>
            <w:t xml:space="preserve"> Bank</w:t>
          </w:r>
        </w:p>
        <w:p w14:paraId="7C7F764D" w14:textId="77777777" w:rsidR="00797C11" w:rsidRDefault="00797C11">
          <w:pPr>
            <w:pStyle w:val="Header"/>
            <w:spacing w:line="360" w:lineRule="auto"/>
            <w:ind w:right="-46"/>
            <w:rPr>
              <w:rFonts w:cs="Arial"/>
              <w:color w:val="7F7F7F"/>
              <w:sz w:val="16"/>
              <w:szCs w:val="16"/>
            </w:rPr>
          </w:pPr>
          <w:r>
            <w:rPr>
              <w:rFonts w:cs="Arial"/>
              <w:color w:val="7F7F7F"/>
              <w:sz w:val="16"/>
              <w:szCs w:val="16"/>
            </w:rPr>
            <w:t>SWIFT:NDEAEE2X</w:t>
          </w:r>
        </w:p>
        <w:p w14:paraId="40EA52F8" w14:textId="77777777" w:rsidR="00797C11" w:rsidRDefault="00797C11">
          <w:pPr>
            <w:pStyle w:val="Header"/>
            <w:spacing w:line="360" w:lineRule="auto"/>
            <w:ind w:right="-46"/>
            <w:rPr>
              <w:rFonts w:cs="Arial"/>
              <w:sz w:val="28"/>
              <w:szCs w:val="28"/>
            </w:rPr>
          </w:pPr>
          <w:r>
            <w:rPr>
              <w:rFonts w:cs="Arial"/>
              <w:color w:val="7F7F7F"/>
              <w:sz w:val="16"/>
              <w:szCs w:val="16"/>
            </w:rPr>
            <w:t>IBAN EE111700017003402151</w:t>
          </w:r>
        </w:p>
      </w:tc>
      <w:tc>
        <w:tcPr>
          <w:tcW w:w="20" w:type="dxa"/>
        </w:tcPr>
        <w:p w14:paraId="787DDC9E" w14:textId="77777777" w:rsidR="00797C11" w:rsidRDefault="00797C11">
          <w:pPr>
            <w:pStyle w:val="Footer"/>
            <w:ind w:right="-46"/>
            <w:rPr>
              <w:rFonts w:cs="Arial"/>
              <w:color w:val="7F7F7F"/>
              <w:sz w:val="16"/>
              <w:szCs w:val="16"/>
            </w:rPr>
          </w:pPr>
        </w:p>
      </w:tc>
      <w:tc>
        <w:tcPr>
          <w:tcW w:w="20" w:type="dxa"/>
        </w:tcPr>
        <w:p w14:paraId="0F858227" w14:textId="77777777" w:rsidR="00797C11" w:rsidRDefault="00797C11">
          <w:pPr>
            <w:pStyle w:val="Footer"/>
            <w:ind w:right="-46"/>
            <w:rPr>
              <w:rFonts w:cs="Arial"/>
              <w:color w:val="7F7F7F"/>
              <w:sz w:val="16"/>
              <w:szCs w:val="16"/>
            </w:rPr>
          </w:pPr>
        </w:p>
      </w:tc>
      <w:tc>
        <w:tcPr>
          <w:tcW w:w="183" w:type="dxa"/>
        </w:tcPr>
        <w:p w14:paraId="0FDEC340" w14:textId="77777777" w:rsidR="00797C11" w:rsidRDefault="00797C11">
          <w:pPr>
            <w:pStyle w:val="Footer"/>
            <w:ind w:right="-46"/>
            <w:rPr>
              <w:rFonts w:cs="Arial"/>
              <w:color w:val="7F7F7F"/>
              <w:sz w:val="16"/>
              <w:szCs w:val="16"/>
            </w:rPr>
          </w:pPr>
        </w:p>
      </w:tc>
      <w:tc>
        <w:tcPr>
          <w:tcW w:w="20" w:type="dxa"/>
        </w:tcPr>
        <w:p w14:paraId="6FF520C0" w14:textId="77777777" w:rsidR="00797C11" w:rsidRDefault="00797C11">
          <w:pPr>
            <w:pStyle w:val="Footer"/>
            <w:ind w:right="-46"/>
            <w:rPr>
              <w:rFonts w:cs="Arial"/>
              <w:color w:val="7F7F7F"/>
              <w:sz w:val="16"/>
              <w:szCs w:val="16"/>
            </w:rPr>
          </w:pPr>
        </w:p>
      </w:tc>
      <w:tc>
        <w:tcPr>
          <w:tcW w:w="20" w:type="dxa"/>
        </w:tcPr>
        <w:p w14:paraId="29F64FED" w14:textId="77777777" w:rsidR="00797C11" w:rsidRDefault="00797C11">
          <w:pPr>
            <w:pStyle w:val="Footer"/>
            <w:ind w:right="-46"/>
            <w:rPr>
              <w:rFonts w:cs="Arial"/>
              <w:color w:val="7F7F7F"/>
              <w:sz w:val="16"/>
              <w:szCs w:val="16"/>
            </w:rPr>
          </w:pPr>
        </w:p>
      </w:tc>
      <w:tc>
        <w:tcPr>
          <w:tcW w:w="142" w:type="dxa"/>
        </w:tcPr>
        <w:p w14:paraId="6964F968" w14:textId="77777777" w:rsidR="00797C11" w:rsidRDefault="00797C11">
          <w:pPr>
            <w:pStyle w:val="Footer"/>
            <w:ind w:right="-46"/>
            <w:rPr>
              <w:rFonts w:cs="Arial"/>
              <w:color w:val="7F7F7F"/>
              <w:sz w:val="16"/>
              <w:szCs w:val="16"/>
            </w:rPr>
          </w:pPr>
        </w:p>
      </w:tc>
      <w:tc>
        <w:tcPr>
          <w:tcW w:w="3118" w:type="dxa"/>
        </w:tcPr>
        <w:p w14:paraId="61C10177" w14:textId="77777777" w:rsidR="00797C11" w:rsidRDefault="00797C11">
          <w:pPr>
            <w:pStyle w:val="Header"/>
            <w:spacing w:line="360" w:lineRule="auto"/>
            <w:ind w:right="-46"/>
            <w:rPr>
              <w:rFonts w:cs="Arial"/>
              <w:sz w:val="28"/>
              <w:szCs w:val="28"/>
            </w:rPr>
          </w:pPr>
          <w:r>
            <w:rPr>
              <w:rFonts w:cs="Arial"/>
              <w:sz w:val="28"/>
              <w:szCs w:val="28"/>
            </w:rPr>
            <w:t>—</w:t>
          </w:r>
        </w:p>
        <w:p w14:paraId="446227A5" w14:textId="77777777" w:rsidR="00797C11" w:rsidRDefault="00797C11">
          <w:pPr>
            <w:pStyle w:val="Header"/>
            <w:spacing w:line="360" w:lineRule="auto"/>
            <w:ind w:right="-46"/>
            <w:rPr>
              <w:rFonts w:cs="Arial"/>
              <w:color w:val="7F7F7F"/>
              <w:sz w:val="16"/>
              <w:szCs w:val="16"/>
            </w:rPr>
          </w:pPr>
          <w:r>
            <w:rPr>
              <w:rStyle w:val="PlaceholderText"/>
              <w:rFonts w:eastAsiaTheme="majorEastAsia" w:cs="Arial"/>
              <w:b/>
              <w:sz w:val="16"/>
              <w:szCs w:val="16"/>
            </w:rPr>
            <w:t xml:space="preserve">Telefon   </w:t>
          </w:r>
          <w:r>
            <w:rPr>
              <w:rFonts w:cs="Arial"/>
              <w:color w:val="7F7F7F"/>
              <w:sz w:val="16"/>
              <w:szCs w:val="16"/>
            </w:rPr>
            <w:t>+372 675 7700</w:t>
          </w:r>
        </w:p>
        <w:p w14:paraId="0497B09F" w14:textId="77777777" w:rsidR="00797C11" w:rsidRDefault="00797C11">
          <w:pPr>
            <w:pStyle w:val="Header"/>
            <w:spacing w:line="360" w:lineRule="auto"/>
            <w:ind w:right="-46"/>
            <w:rPr>
              <w:rFonts w:cs="Arial"/>
              <w:color w:val="7F7F7F"/>
              <w:sz w:val="14"/>
              <w:szCs w:val="14"/>
            </w:rPr>
          </w:pPr>
          <w:r>
            <w:rPr>
              <w:rFonts w:cs="Arial"/>
              <w:b/>
              <w:color w:val="7F7F7F"/>
              <w:sz w:val="16"/>
              <w:szCs w:val="16"/>
            </w:rPr>
            <w:t xml:space="preserve">E-post     </w:t>
          </w:r>
          <w:r>
            <w:rPr>
              <w:rFonts w:cs="Arial"/>
              <w:color w:val="7F7F7F"/>
              <w:sz w:val="16"/>
              <w:szCs w:val="14"/>
            </w:rPr>
            <w:t>eesti@circlekeurope.com</w:t>
          </w:r>
        </w:p>
        <w:p w14:paraId="4A5F88C5" w14:textId="77777777" w:rsidR="00797C11" w:rsidRDefault="00797C11">
          <w:pPr>
            <w:pStyle w:val="Header"/>
            <w:spacing w:line="360" w:lineRule="auto"/>
            <w:ind w:right="-46"/>
            <w:rPr>
              <w:rFonts w:cs="Arial"/>
              <w:color w:val="7F7F7F"/>
              <w:sz w:val="16"/>
              <w:szCs w:val="16"/>
            </w:rPr>
          </w:pPr>
          <w:r>
            <w:rPr>
              <w:rFonts w:cs="Arial"/>
              <w:b/>
              <w:color w:val="7F7F7F"/>
              <w:sz w:val="16"/>
              <w:szCs w:val="16"/>
            </w:rPr>
            <w:t>Veeb</w:t>
          </w:r>
          <w:r>
            <w:rPr>
              <w:rFonts w:cs="Arial"/>
              <w:color w:val="7F7F7F"/>
              <w:sz w:val="16"/>
              <w:szCs w:val="16"/>
            </w:rPr>
            <w:t xml:space="preserve">        www.circlek.ee</w:t>
          </w:r>
        </w:p>
        <w:p w14:paraId="4E0ED292" w14:textId="77777777" w:rsidR="00797C11" w:rsidRDefault="00797C11">
          <w:pPr>
            <w:pStyle w:val="Footer"/>
            <w:spacing w:line="276" w:lineRule="auto"/>
            <w:ind w:right="-46"/>
            <w:rPr>
              <w:rFonts w:cs="Arial"/>
              <w:color w:val="7F7F7F"/>
              <w:sz w:val="16"/>
              <w:szCs w:val="16"/>
            </w:rPr>
          </w:pPr>
        </w:p>
      </w:tc>
      <w:tc>
        <w:tcPr>
          <w:tcW w:w="79" w:type="dxa"/>
        </w:tcPr>
        <w:p w14:paraId="29B0FF2F" w14:textId="77777777" w:rsidR="00797C11" w:rsidRDefault="00797C11">
          <w:pPr>
            <w:pStyle w:val="Header"/>
            <w:spacing w:line="360" w:lineRule="auto"/>
            <w:ind w:right="-46"/>
            <w:rPr>
              <w:rFonts w:cs="Arial"/>
              <w:sz w:val="28"/>
              <w:szCs w:val="28"/>
            </w:rPr>
          </w:pPr>
        </w:p>
      </w:tc>
      <w:tc>
        <w:tcPr>
          <w:tcW w:w="1741" w:type="dxa"/>
        </w:tcPr>
        <w:p w14:paraId="063A873E" w14:textId="77777777" w:rsidR="00797C11" w:rsidRDefault="00797C11">
          <w:pPr>
            <w:pStyle w:val="Header"/>
            <w:spacing w:line="360" w:lineRule="auto"/>
            <w:ind w:right="-46"/>
            <w:rPr>
              <w:rFonts w:cs="Arial"/>
              <w:sz w:val="28"/>
              <w:szCs w:val="28"/>
            </w:rPr>
          </w:pPr>
        </w:p>
      </w:tc>
      <w:tc>
        <w:tcPr>
          <w:tcW w:w="1741" w:type="dxa"/>
        </w:tcPr>
        <w:p w14:paraId="0E630ED9" w14:textId="77777777" w:rsidR="00797C11" w:rsidRDefault="00797C11">
          <w:pPr>
            <w:pStyle w:val="Header"/>
            <w:spacing w:line="360" w:lineRule="auto"/>
            <w:ind w:right="-46"/>
            <w:rPr>
              <w:rFonts w:cs="Arial"/>
              <w:sz w:val="28"/>
              <w:szCs w:val="28"/>
            </w:rPr>
          </w:pPr>
        </w:p>
      </w:tc>
      <w:tc>
        <w:tcPr>
          <w:tcW w:w="1741" w:type="dxa"/>
        </w:tcPr>
        <w:p w14:paraId="093D4C97" w14:textId="77777777" w:rsidR="00797C11" w:rsidRDefault="00797C11">
          <w:pPr>
            <w:pStyle w:val="Header"/>
            <w:spacing w:line="360" w:lineRule="auto"/>
            <w:ind w:right="-46"/>
            <w:rPr>
              <w:rFonts w:cs="Arial"/>
              <w:sz w:val="28"/>
              <w:szCs w:val="28"/>
            </w:rPr>
          </w:pPr>
        </w:p>
      </w:tc>
      <w:tc>
        <w:tcPr>
          <w:tcW w:w="1741" w:type="dxa"/>
        </w:tcPr>
        <w:p w14:paraId="0FAFE159" w14:textId="77777777" w:rsidR="00797C11" w:rsidRDefault="00797C11">
          <w:pPr>
            <w:pStyle w:val="Header"/>
            <w:spacing w:line="360" w:lineRule="auto"/>
            <w:ind w:right="-46"/>
            <w:rPr>
              <w:rFonts w:cs="Arial"/>
              <w:sz w:val="28"/>
              <w:szCs w:val="28"/>
            </w:rPr>
          </w:pPr>
        </w:p>
      </w:tc>
      <w:tc>
        <w:tcPr>
          <w:tcW w:w="1741" w:type="dxa"/>
        </w:tcPr>
        <w:p w14:paraId="6964D86A" w14:textId="77777777" w:rsidR="00797C11" w:rsidRDefault="00797C11">
          <w:pPr>
            <w:pStyle w:val="Header"/>
            <w:spacing w:line="360" w:lineRule="auto"/>
            <w:ind w:right="-46"/>
            <w:rPr>
              <w:rFonts w:cs="Arial"/>
              <w:sz w:val="28"/>
              <w:szCs w:val="28"/>
            </w:rPr>
          </w:pPr>
        </w:p>
      </w:tc>
      <w:tc>
        <w:tcPr>
          <w:tcW w:w="1741" w:type="dxa"/>
        </w:tcPr>
        <w:p w14:paraId="5CCF467A" w14:textId="77777777" w:rsidR="00797C11" w:rsidRDefault="00797C11">
          <w:pPr>
            <w:pStyle w:val="Header"/>
            <w:spacing w:line="360" w:lineRule="auto"/>
            <w:ind w:right="-46"/>
            <w:rPr>
              <w:rFonts w:cs="Arial"/>
              <w:sz w:val="28"/>
              <w:szCs w:val="28"/>
            </w:rPr>
          </w:pPr>
        </w:p>
      </w:tc>
      <w:tc>
        <w:tcPr>
          <w:tcW w:w="1741" w:type="dxa"/>
        </w:tcPr>
        <w:p w14:paraId="16CFACB6" w14:textId="77777777" w:rsidR="00797C11" w:rsidRDefault="00797C11">
          <w:pPr>
            <w:pStyle w:val="Header"/>
            <w:spacing w:line="360" w:lineRule="auto"/>
            <w:ind w:right="-46"/>
            <w:rPr>
              <w:rFonts w:cs="Arial"/>
              <w:sz w:val="28"/>
              <w:szCs w:val="28"/>
            </w:rPr>
          </w:pPr>
        </w:p>
      </w:tc>
    </w:tr>
  </w:tbl>
  <w:p w14:paraId="769D9A68" w14:textId="77777777" w:rsidR="00797C11" w:rsidRPr="00992344" w:rsidRDefault="00797C11" w:rsidP="009923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E1714" w14:textId="77777777" w:rsidR="00943C31" w:rsidRDefault="00943C31" w:rsidP="00943C31">
      <w:pPr>
        <w:spacing w:line="240" w:lineRule="auto"/>
      </w:pPr>
      <w:r>
        <w:separator/>
      </w:r>
    </w:p>
  </w:footnote>
  <w:footnote w:type="continuationSeparator" w:id="0">
    <w:p w14:paraId="02FEEA87" w14:textId="77777777" w:rsidR="00943C31" w:rsidRDefault="00943C31" w:rsidP="00943C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6DBFA" w14:textId="77777777" w:rsidR="00797C11" w:rsidRDefault="00797C11" w:rsidP="00816840">
    <w:pPr>
      <w:pStyle w:val="Footer"/>
      <w:jc w:val="right"/>
      <w:rPr>
        <w:rFonts w:cs="Arial"/>
        <w:bCs/>
        <w:i/>
        <w:iCs/>
        <w:color w:val="7F7F7F"/>
        <w:sz w:val="14"/>
        <w:szCs w:val="14"/>
      </w:rPr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11CA06D6" wp14:editId="0E74FA31">
          <wp:simplePos x="0" y="0"/>
          <wp:positionH relativeFrom="margin">
            <wp:posOffset>4384040</wp:posOffset>
          </wp:positionH>
          <wp:positionV relativeFrom="paragraph">
            <wp:posOffset>-351790</wp:posOffset>
          </wp:positionV>
          <wp:extent cx="1626870" cy="612140"/>
          <wp:effectExtent l="0" t="0" r="0" b="0"/>
          <wp:wrapSquare wrapText="bothSides"/>
          <wp:docPr id="2" name="Picture 2" descr="circlek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circlek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61EA73" w14:textId="77777777" w:rsidR="00797C11" w:rsidRDefault="00797C11" w:rsidP="00816840">
    <w:pPr>
      <w:pStyle w:val="Footer"/>
      <w:jc w:val="center"/>
      <w:rPr>
        <w:rFonts w:cs="Arial"/>
        <w:bCs/>
        <w:i/>
        <w:iCs/>
        <w:color w:val="7F7F7F"/>
        <w:sz w:val="14"/>
        <w:szCs w:val="14"/>
      </w:rPr>
    </w:pPr>
    <w:r>
      <w:rPr>
        <w:rFonts w:cs="Arial"/>
        <w:bCs/>
        <w:i/>
        <w:iCs/>
        <w:color w:val="7F7F7F"/>
        <w:sz w:val="14"/>
        <w:szCs w:val="14"/>
      </w:rPr>
      <w:tab/>
    </w:r>
    <w:r>
      <w:rPr>
        <w:rFonts w:cs="Arial"/>
        <w:bCs/>
        <w:i/>
        <w:iCs/>
        <w:color w:val="7F7F7F"/>
        <w:sz w:val="14"/>
        <w:szCs w:val="14"/>
      </w:rPr>
      <w:tab/>
    </w:r>
  </w:p>
  <w:p w14:paraId="656C1571" w14:textId="77777777" w:rsidR="00797C11" w:rsidRPr="00505EE3" w:rsidRDefault="00797C11" w:rsidP="00816840">
    <w:pPr>
      <w:pStyle w:val="Footer"/>
      <w:jc w:val="center"/>
      <w:rPr>
        <w:rFonts w:cs="Arial"/>
        <w:color w:val="7F7F7F"/>
        <w:sz w:val="14"/>
        <w:szCs w:val="14"/>
      </w:rPr>
    </w:pPr>
    <w:r>
      <w:rPr>
        <w:rFonts w:cs="Arial"/>
        <w:bCs/>
        <w:i/>
        <w:iCs/>
        <w:color w:val="7F7F7F"/>
        <w:sz w:val="14"/>
        <w:szCs w:val="14"/>
      </w:rPr>
      <w:tab/>
    </w:r>
    <w:r>
      <w:rPr>
        <w:rFonts w:cs="Arial"/>
        <w:bCs/>
        <w:i/>
        <w:iCs/>
        <w:color w:val="7F7F7F"/>
        <w:sz w:val="14"/>
        <w:szCs w:val="14"/>
      </w:rPr>
      <w:tab/>
    </w:r>
    <w:r w:rsidRPr="00505EE3">
      <w:rPr>
        <w:rFonts w:cs="Arial"/>
        <w:bCs/>
        <w:i/>
        <w:iCs/>
        <w:color w:val="7F7F7F"/>
        <w:sz w:val="14"/>
        <w:szCs w:val="14"/>
      </w:rPr>
      <w:t xml:space="preserve">Part of </w:t>
    </w:r>
    <w:proofErr w:type="spellStart"/>
    <w:r w:rsidRPr="00505EE3">
      <w:rPr>
        <w:rFonts w:cs="Arial"/>
        <w:bCs/>
        <w:i/>
        <w:iCs/>
        <w:color w:val="7F7F7F"/>
        <w:sz w:val="14"/>
        <w:szCs w:val="14"/>
      </w:rPr>
      <w:t>Alimentation</w:t>
    </w:r>
    <w:proofErr w:type="spellEnd"/>
    <w:r w:rsidRPr="00505EE3">
      <w:rPr>
        <w:rFonts w:cs="Arial"/>
        <w:bCs/>
        <w:i/>
        <w:iCs/>
        <w:color w:val="7F7F7F"/>
        <w:sz w:val="14"/>
        <w:szCs w:val="14"/>
      </w:rPr>
      <w:t xml:space="preserve"> Couche-Tard</w:t>
    </w:r>
  </w:p>
  <w:p w14:paraId="7E7F7DD1" w14:textId="77777777" w:rsidR="00797C11" w:rsidRPr="00CB315D" w:rsidRDefault="00797C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725DD" w14:textId="77777777" w:rsidR="00797C11" w:rsidRDefault="00797C11" w:rsidP="00992344">
    <w:pPr>
      <w:pStyle w:val="Footer"/>
      <w:jc w:val="right"/>
      <w:rPr>
        <w:rFonts w:cs="Arial"/>
        <w:bCs/>
        <w:i/>
        <w:iCs/>
        <w:color w:val="7F7F7F"/>
        <w:sz w:val="14"/>
        <w:szCs w:val="14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8AED0FD" wp14:editId="259453AD">
          <wp:simplePos x="0" y="0"/>
          <wp:positionH relativeFrom="margin">
            <wp:posOffset>4384040</wp:posOffset>
          </wp:positionH>
          <wp:positionV relativeFrom="paragraph">
            <wp:posOffset>-351790</wp:posOffset>
          </wp:positionV>
          <wp:extent cx="1626870" cy="612140"/>
          <wp:effectExtent l="0" t="0" r="0" b="0"/>
          <wp:wrapSquare wrapText="bothSides"/>
          <wp:docPr id="1" name="Picture 1" descr="circlek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circlek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945C17" w14:textId="77777777" w:rsidR="00797C11" w:rsidRDefault="00797C11" w:rsidP="00992344">
    <w:pPr>
      <w:pStyle w:val="Footer"/>
      <w:jc w:val="center"/>
      <w:rPr>
        <w:rFonts w:cs="Arial"/>
        <w:bCs/>
        <w:i/>
        <w:iCs/>
        <w:color w:val="7F7F7F"/>
        <w:sz w:val="14"/>
        <w:szCs w:val="14"/>
      </w:rPr>
    </w:pPr>
    <w:r>
      <w:rPr>
        <w:rFonts w:cs="Arial"/>
        <w:bCs/>
        <w:i/>
        <w:iCs/>
        <w:color w:val="7F7F7F"/>
        <w:sz w:val="14"/>
        <w:szCs w:val="14"/>
      </w:rPr>
      <w:tab/>
    </w:r>
    <w:r>
      <w:rPr>
        <w:rFonts w:cs="Arial"/>
        <w:bCs/>
        <w:i/>
        <w:iCs/>
        <w:color w:val="7F7F7F"/>
        <w:sz w:val="14"/>
        <w:szCs w:val="14"/>
      </w:rPr>
      <w:tab/>
    </w:r>
  </w:p>
  <w:p w14:paraId="269D98CD" w14:textId="77777777" w:rsidR="00797C11" w:rsidRPr="00505EE3" w:rsidRDefault="00797C11" w:rsidP="00992344">
    <w:pPr>
      <w:pStyle w:val="Footer"/>
      <w:jc w:val="center"/>
      <w:rPr>
        <w:rFonts w:cs="Arial"/>
        <w:color w:val="7F7F7F"/>
        <w:sz w:val="14"/>
        <w:szCs w:val="14"/>
      </w:rPr>
    </w:pPr>
    <w:r>
      <w:rPr>
        <w:rFonts w:cs="Arial"/>
        <w:bCs/>
        <w:i/>
        <w:iCs/>
        <w:color w:val="7F7F7F"/>
        <w:sz w:val="14"/>
        <w:szCs w:val="14"/>
      </w:rPr>
      <w:tab/>
    </w:r>
    <w:r>
      <w:rPr>
        <w:rFonts w:cs="Arial"/>
        <w:bCs/>
        <w:i/>
        <w:iCs/>
        <w:color w:val="7F7F7F"/>
        <w:sz w:val="14"/>
        <w:szCs w:val="14"/>
      </w:rPr>
      <w:tab/>
    </w:r>
    <w:r w:rsidRPr="00505EE3">
      <w:rPr>
        <w:rFonts w:cs="Arial"/>
        <w:bCs/>
        <w:i/>
        <w:iCs/>
        <w:color w:val="7F7F7F"/>
        <w:sz w:val="14"/>
        <w:szCs w:val="14"/>
      </w:rPr>
      <w:t xml:space="preserve">Part of </w:t>
    </w:r>
    <w:proofErr w:type="spellStart"/>
    <w:r w:rsidRPr="00505EE3">
      <w:rPr>
        <w:rFonts w:cs="Arial"/>
        <w:bCs/>
        <w:i/>
        <w:iCs/>
        <w:color w:val="7F7F7F"/>
        <w:sz w:val="14"/>
        <w:szCs w:val="14"/>
      </w:rPr>
      <w:t>Alimentation</w:t>
    </w:r>
    <w:proofErr w:type="spellEnd"/>
    <w:r w:rsidRPr="00505EE3">
      <w:rPr>
        <w:rFonts w:cs="Arial"/>
        <w:bCs/>
        <w:i/>
        <w:iCs/>
        <w:color w:val="7F7F7F"/>
        <w:sz w:val="14"/>
        <w:szCs w:val="14"/>
      </w:rPr>
      <w:t xml:space="preserve"> Couche-Tard</w:t>
    </w:r>
  </w:p>
  <w:p w14:paraId="06FBBE07" w14:textId="77777777" w:rsidR="00797C11" w:rsidRPr="00992344" w:rsidRDefault="00797C11" w:rsidP="009923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C55C1"/>
    <w:multiLevelType w:val="hybridMultilevel"/>
    <w:tmpl w:val="1B10AE2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E2CFB"/>
    <w:multiLevelType w:val="hybridMultilevel"/>
    <w:tmpl w:val="24B6D20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962917">
    <w:abstractNumId w:val="0"/>
  </w:num>
  <w:num w:numId="2" w16cid:durableId="1165435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C31"/>
    <w:rsid w:val="00072102"/>
    <w:rsid w:val="001E3B7D"/>
    <w:rsid w:val="002131BF"/>
    <w:rsid w:val="004B5BC8"/>
    <w:rsid w:val="00615EE1"/>
    <w:rsid w:val="006F5A3C"/>
    <w:rsid w:val="00717635"/>
    <w:rsid w:val="00797C11"/>
    <w:rsid w:val="00943C31"/>
    <w:rsid w:val="00A15902"/>
    <w:rsid w:val="00B30A1A"/>
    <w:rsid w:val="00C9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9F6A8"/>
  <w15:chartTrackingRefBased/>
  <w15:docId w15:val="{51669CBA-AB37-4F33-906C-85911F370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C31"/>
    <w:pPr>
      <w:spacing w:after="0" w:line="280" w:lineRule="atLeast"/>
    </w:pPr>
    <w:rPr>
      <w:rFonts w:ascii="Arial" w:eastAsia="Times New Roman" w:hAnsi="Arial" w:cs="Times New Roman"/>
      <w:kern w:val="0"/>
      <w:sz w:val="19"/>
      <w:szCs w:val="1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3C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3C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3C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3C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3C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3C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3C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3C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3C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3C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3C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3C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3C3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3C3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3C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3C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3C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3C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3C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3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3C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3C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3C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3C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3C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3C3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3C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3C3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3C31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943C31"/>
    <w:pPr>
      <w:tabs>
        <w:tab w:val="center" w:pos="4536"/>
        <w:tab w:val="right" w:pos="9072"/>
      </w:tabs>
    </w:pPr>
    <w:rPr>
      <w:sz w:val="15"/>
    </w:rPr>
  </w:style>
  <w:style w:type="character" w:customStyle="1" w:styleId="HeaderChar">
    <w:name w:val="Header Char"/>
    <w:basedOn w:val="DefaultParagraphFont"/>
    <w:link w:val="Header"/>
    <w:uiPriority w:val="99"/>
    <w:rsid w:val="00943C31"/>
    <w:rPr>
      <w:rFonts w:ascii="Arial" w:eastAsia="Times New Roman" w:hAnsi="Arial" w:cs="Times New Roman"/>
      <w:kern w:val="0"/>
      <w:sz w:val="15"/>
      <w:szCs w:val="18"/>
      <w14:ligatures w14:val="none"/>
    </w:rPr>
  </w:style>
  <w:style w:type="paragraph" w:styleId="Footer">
    <w:name w:val="footer"/>
    <w:basedOn w:val="Normal"/>
    <w:link w:val="FooterChar"/>
    <w:rsid w:val="00943C31"/>
    <w:pPr>
      <w:tabs>
        <w:tab w:val="center" w:pos="4536"/>
        <w:tab w:val="right" w:pos="9072"/>
      </w:tabs>
    </w:pPr>
    <w:rPr>
      <w:sz w:val="15"/>
    </w:rPr>
  </w:style>
  <w:style w:type="character" w:customStyle="1" w:styleId="FooterChar">
    <w:name w:val="Footer Char"/>
    <w:basedOn w:val="DefaultParagraphFont"/>
    <w:link w:val="Footer"/>
    <w:rsid w:val="00943C31"/>
    <w:rPr>
      <w:rFonts w:ascii="Arial" w:eastAsia="Times New Roman" w:hAnsi="Arial" w:cs="Times New Roman"/>
      <w:kern w:val="0"/>
      <w:sz w:val="15"/>
      <w:szCs w:val="18"/>
      <w14:ligatures w14:val="none"/>
    </w:rPr>
  </w:style>
  <w:style w:type="character" w:styleId="PlaceholderText">
    <w:name w:val="Placeholder Text"/>
    <w:uiPriority w:val="99"/>
    <w:semiHidden/>
    <w:rsid w:val="00943C3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960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60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annabellcarina.katalsepp@konkurentsiamet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8B78466981DE45AB3BB2575CE901DD" ma:contentTypeVersion="17" ma:contentTypeDescription="Create a new document." ma:contentTypeScope="" ma:versionID="b050cb5548b7e0d52ee9390efa70dc2a">
  <xsd:schema xmlns:xsd="http://www.w3.org/2001/XMLSchema" xmlns:xs="http://www.w3.org/2001/XMLSchema" xmlns:p="http://schemas.microsoft.com/office/2006/metadata/properties" xmlns:ns2="61b9d0d9-8eaf-4acd-9aaf-194748c5774e" xmlns:ns3="40de54c6-ed9e-4750-ba19-09c4239e6885" targetNamespace="http://schemas.microsoft.com/office/2006/metadata/properties" ma:root="true" ma:fieldsID="bbb21cb6cff3e6472e8465427f8779fe" ns2:_="" ns3:_="">
    <xsd:import namespace="61b9d0d9-8eaf-4acd-9aaf-194748c5774e"/>
    <xsd:import namespace="40de54c6-ed9e-4750-ba19-09c4239e68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_Flow_SignoffStatu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9d0d9-8eaf-4acd-9aaf-194748c577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ed56434-4368-4732-8719-bddffbb5d3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de54c6-ed9e-4750-ba19-09c4239e688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e2aa770-33e9-4697-919c-10147cf2dff6}" ma:internalName="TaxCatchAll" ma:showField="CatchAllData" ma:web="40de54c6-ed9e-4750-ba19-09c4239e68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de54c6-ed9e-4750-ba19-09c4239e6885" xsi:nil="true"/>
    <lcf76f155ced4ddcb4097134ff3c332f xmlns="61b9d0d9-8eaf-4acd-9aaf-194748c5774e">
      <Terms xmlns="http://schemas.microsoft.com/office/infopath/2007/PartnerControls"/>
    </lcf76f155ced4ddcb4097134ff3c332f>
    <_Flow_SignoffStatus xmlns="61b9d0d9-8eaf-4acd-9aaf-194748c5774e" xsi:nil="true"/>
  </documentManagement>
</p:properties>
</file>

<file path=customXml/itemProps1.xml><?xml version="1.0" encoding="utf-8"?>
<ds:datastoreItem xmlns:ds="http://schemas.openxmlformats.org/officeDocument/2006/customXml" ds:itemID="{E7F2ED7F-9F5A-4211-95FF-E14FE3B7AC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b9d0d9-8eaf-4acd-9aaf-194748c5774e"/>
    <ds:schemaRef ds:uri="40de54c6-ed9e-4750-ba19-09c4239e6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65B12D-E491-4DE2-A3F1-3D12B6BE09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6B57A2-49EA-4CEE-9E52-33728CFF3BA1}">
  <ds:schemaRefs>
    <ds:schemaRef ds:uri="61b9d0d9-8eaf-4acd-9aaf-194748c5774e"/>
    <ds:schemaRef ds:uri="http://schemas.microsoft.com/office/2006/metadata/properties"/>
    <ds:schemaRef ds:uri="http://purl.org/dc/terms/"/>
    <ds:schemaRef ds:uri="40de54c6-ed9e-4750-ba19-09c4239e6885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319</Words>
  <Characters>1855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Nele Laidvee</dc:creator>
  <cp:keywords/>
  <dc:description/>
  <cp:lastModifiedBy>Raimo Vahtrik</cp:lastModifiedBy>
  <cp:revision>2</cp:revision>
  <dcterms:created xsi:type="dcterms:W3CDTF">2025-04-15T05:01:00Z</dcterms:created>
  <dcterms:modified xsi:type="dcterms:W3CDTF">2025-04-15T05:01:00Z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0x010100E78B78466981DE45AB3BB2575CE901DD</vt:lpwstr>
  </property>
  <property fmtid="{D5CDD505-2E9C-101B-9397-08002B2CF9AE}" pid="3" name="MediaServiceImageTags">
    <vt:lpwstr/>
  </property>
</Properties>
</file>